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8"/>
        <w:gridCol w:w="2008"/>
        <w:gridCol w:w="3762"/>
        <w:gridCol w:w="625"/>
        <w:gridCol w:w="625"/>
        <w:gridCol w:w="810"/>
        <w:gridCol w:w="810"/>
        <w:gridCol w:w="810"/>
        <w:gridCol w:w="810"/>
        <w:gridCol w:w="3630"/>
      </w:tblGrid>
      <w:tr>
        <w:trPr>
          <w:trHeight w:val="337" w:hRule="atLeast"/>
        </w:trPr>
        <w:tc>
          <w:tcPr>
            <w:tcW w:w="16208" w:type="dxa"/>
            <w:gridSpan w:val="10"/>
          </w:tcPr>
          <w:p>
            <w:pPr>
              <w:pStyle w:val="TableParagraph"/>
              <w:spacing w:line="318" w:lineRule="exact"/>
              <w:ind w:left="3369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國立臺中科技大學二技日間部 流通管理系 課程表(106學年度入學新生適用)</w:t>
            </w:r>
          </w:p>
        </w:tc>
      </w:tr>
      <w:tr>
        <w:trPr>
          <w:trHeight w:val="227" w:hRule="atLeast"/>
        </w:trPr>
        <w:tc>
          <w:tcPr>
            <w:tcW w:w="2318" w:type="dxa"/>
            <w:vMerge w:val="restart"/>
          </w:tcPr>
          <w:p>
            <w:pPr>
              <w:pStyle w:val="TableParagraph"/>
              <w:spacing w:line="222" w:lineRule="exact"/>
              <w:ind w:left="22"/>
              <w:jc w:val="center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 w:hint="eastAsia"/>
                <w:b/>
                <w:w w:val="99"/>
                <w:sz w:val="20"/>
              </w:rPr>
              <w:t>科</w:t>
            </w:r>
          </w:p>
          <w:p>
            <w:pPr>
              <w:pStyle w:val="TableParagraph"/>
              <w:spacing w:line="225" w:lineRule="auto" w:before="3"/>
              <w:ind w:left="1060" w:right="1036"/>
              <w:jc w:val="center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 w:hint="eastAsia"/>
                <w:b/>
                <w:w w:val="95"/>
                <w:sz w:val="20"/>
              </w:rPr>
              <w:t>目類</w:t>
            </w:r>
          </w:p>
          <w:p>
            <w:pPr>
              <w:pStyle w:val="TableParagraph"/>
              <w:spacing w:line="198" w:lineRule="exact"/>
              <w:ind w:left="22"/>
              <w:jc w:val="center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 w:hint="eastAsia"/>
                <w:b/>
                <w:w w:val="99"/>
                <w:sz w:val="20"/>
              </w:rPr>
              <w:t>別</w:t>
            </w:r>
          </w:p>
        </w:tc>
        <w:tc>
          <w:tcPr>
            <w:tcW w:w="2008" w:type="dxa"/>
            <w:vMerge w:val="restart"/>
          </w:tcPr>
          <w:p>
            <w:pPr>
              <w:pStyle w:val="TableParagraph"/>
              <w:spacing w:line="166" w:lineRule="exact"/>
              <w:ind w:left="20"/>
              <w:jc w:val="center"/>
              <w:rPr>
                <w:rFonts w:ascii="標楷體" w:eastAsia="標楷體" w:hint="eastAsia"/>
                <w:b/>
                <w:sz w:val="16"/>
              </w:rPr>
            </w:pPr>
            <w:r>
              <w:rPr>
                <w:rFonts w:ascii="標楷體" w:eastAsia="標楷體" w:hint="eastAsia"/>
                <w:b/>
                <w:w w:val="100"/>
                <w:sz w:val="16"/>
              </w:rPr>
              <w:t>子</w:t>
            </w:r>
          </w:p>
          <w:p>
            <w:pPr>
              <w:pStyle w:val="TableParagraph"/>
              <w:spacing w:line="225" w:lineRule="auto" w:before="3"/>
              <w:ind w:left="923" w:right="901"/>
              <w:jc w:val="both"/>
              <w:rPr>
                <w:rFonts w:ascii="標楷體" w:eastAsia="標楷體" w:hint="eastAsia"/>
                <w:b/>
                <w:sz w:val="16"/>
              </w:rPr>
            </w:pPr>
            <w:r>
              <w:rPr>
                <w:rFonts w:ascii="標楷體" w:eastAsia="標楷體" w:hint="eastAsia"/>
                <w:b/>
                <w:sz w:val="16"/>
              </w:rPr>
              <w:t>類別名</w:t>
            </w:r>
          </w:p>
          <w:p>
            <w:pPr>
              <w:pStyle w:val="TableParagraph"/>
              <w:spacing w:line="149" w:lineRule="exact"/>
              <w:ind w:left="20"/>
              <w:jc w:val="center"/>
              <w:rPr>
                <w:rFonts w:ascii="標楷體" w:eastAsia="標楷體" w:hint="eastAsia"/>
                <w:b/>
                <w:sz w:val="16"/>
              </w:rPr>
            </w:pPr>
            <w:r>
              <w:rPr>
                <w:rFonts w:ascii="標楷體" w:eastAsia="標楷體" w:hint="eastAsia"/>
                <w:b/>
                <w:w w:val="100"/>
                <w:sz w:val="16"/>
              </w:rPr>
              <w:t>稱</w:t>
            </w:r>
          </w:p>
        </w:tc>
        <w:tc>
          <w:tcPr>
            <w:tcW w:w="3762" w:type="dxa"/>
            <w:vMerge w:val="restart"/>
          </w:tcPr>
          <w:p>
            <w:pPr>
              <w:pStyle w:val="TableParagraph"/>
              <w:spacing w:line="222" w:lineRule="exact"/>
              <w:ind w:left="25"/>
              <w:jc w:val="center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 w:hint="eastAsia"/>
                <w:b/>
                <w:w w:val="99"/>
                <w:sz w:val="20"/>
              </w:rPr>
              <w:t>科</w:t>
            </w:r>
          </w:p>
          <w:p>
            <w:pPr>
              <w:pStyle w:val="TableParagraph"/>
              <w:spacing w:line="225" w:lineRule="auto" w:before="3"/>
              <w:ind w:left="1784" w:right="1756"/>
              <w:jc w:val="center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 w:hint="eastAsia"/>
                <w:b/>
                <w:w w:val="95"/>
                <w:sz w:val="20"/>
              </w:rPr>
              <w:t>目名</w:t>
            </w:r>
          </w:p>
          <w:p>
            <w:pPr>
              <w:pStyle w:val="TableParagraph"/>
              <w:spacing w:line="198" w:lineRule="exact"/>
              <w:ind w:left="25"/>
              <w:jc w:val="center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 w:hint="eastAsia"/>
                <w:b/>
                <w:w w:val="99"/>
                <w:sz w:val="20"/>
              </w:rPr>
              <w:t>稱</w:t>
            </w:r>
          </w:p>
        </w:tc>
        <w:tc>
          <w:tcPr>
            <w:tcW w:w="625" w:type="dxa"/>
            <w:vMerge w:val="restart"/>
          </w:tcPr>
          <w:p>
            <w:pPr>
              <w:pStyle w:val="TableParagraph"/>
              <w:spacing w:line="225" w:lineRule="auto" w:before="93"/>
              <w:ind w:left="217" w:right="185"/>
              <w:jc w:val="both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學分數</w:t>
            </w:r>
          </w:p>
        </w:tc>
        <w:tc>
          <w:tcPr>
            <w:tcW w:w="625" w:type="dxa"/>
            <w:vMerge w:val="restart"/>
          </w:tcPr>
          <w:p>
            <w:pPr>
              <w:pStyle w:val="TableParagraph"/>
              <w:spacing w:line="240" w:lineRule="auto" w:before="86"/>
              <w:ind w:left="219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 w:hint="eastAsia"/>
                <w:b/>
                <w:w w:val="99"/>
                <w:sz w:val="20"/>
              </w:rPr>
              <w:t>時</w:t>
            </w:r>
          </w:p>
          <w:p>
            <w:pPr>
              <w:pStyle w:val="TableParagraph"/>
              <w:spacing w:line="240" w:lineRule="auto"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219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 w:hint="eastAsia"/>
                <w:b/>
                <w:w w:val="99"/>
                <w:sz w:val="20"/>
              </w:rPr>
              <w:t>數</w:t>
            </w:r>
          </w:p>
        </w:tc>
        <w:tc>
          <w:tcPr>
            <w:tcW w:w="3240" w:type="dxa"/>
            <w:gridSpan w:val="4"/>
          </w:tcPr>
          <w:p>
            <w:pPr>
              <w:pStyle w:val="TableParagraph"/>
              <w:ind w:left="624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 分 及 授 課 時 數</w:t>
            </w:r>
          </w:p>
        </w:tc>
        <w:tc>
          <w:tcPr>
            <w:tcW w:w="3630" w:type="dxa"/>
            <w:vMerge w:val="restart"/>
          </w:tcPr>
          <w:p>
            <w:pPr>
              <w:pStyle w:val="TableParagraph"/>
              <w:spacing w:line="240" w:lineRule="auto" w:before="9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654" w:val="left" w:leader="none"/>
              </w:tabs>
              <w:spacing w:line="240" w:lineRule="auto"/>
              <w:ind w:left="42"/>
              <w:jc w:val="center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備</w:t>
              <w:tab/>
              <w:t>註</w:t>
            </w:r>
          </w:p>
        </w:tc>
      </w:tr>
      <w:tr>
        <w:trPr>
          <w:trHeight w:val="227" w:hRule="atLeast"/>
        </w:trPr>
        <w:tc>
          <w:tcPr>
            <w:tcW w:w="2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</w:tcPr>
          <w:p>
            <w:pPr>
              <w:pStyle w:val="TableParagraph"/>
              <w:ind w:left="417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第一學年</w:t>
            </w:r>
          </w:p>
        </w:tc>
        <w:tc>
          <w:tcPr>
            <w:tcW w:w="1620" w:type="dxa"/>
            <w:gridSpan w:val="2"/>
          </w:tcPr>
          <w:p>
            <w:pPr>
              <w:pStyle w:val="TableParagraph"/>
              <w:ind w:left="420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第二學年</w:t>
            </w:r>
          </w:p>
        </w:tc>
        <w:tc>
          <w:tcPr>
            <w:tcW w:w="3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2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141"/>
              <w:rPr>
                <w:rFonts w:ascii="標楷體" w:eastAsia="標楷體" w:hint="eastAsia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上學期</w:t>
            </w:r>
          </w:p>
        </w:tc>
        <w:tc>
          <w:tcPr>
            <w:tcW w:w="810" w:type="dxa"/>
          </w:tcPr>
          <w:p>
            <w:pPr>
              <w:pStyle w:val="TableParagraph"/>
              <w:ind w:left="142"/>
              <w:rPr>
                <w:rFonts w:ascii="標楷體" w:eastAsia="標楷體" w:hint="eastAsia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下學期</w:t>
            </w:r>
          </w:p>
        </w:tc>
        <w:tc>
          <w:tcPr>
            <w:tcW w:w="810" w:type="dxa"/>
          </w:tcPr>
          <w:p>
            <w:pPr>
              <w:pStyle w:val="TableParagraph"/>
              <w:ind w:left="143"/>
              <w:rPr>
                <w:rFonts w:ascii="標楷體" w:eastAsia="標楷體" w:hint="eastAsia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上學期</w:t>
            </w:r>
          </w:p>
        </w:tc>
        <w:tc>
          <w:tcPr>
            <w:tcW w:w="810" w:type="dxa"/>
          </w:tcPr>
          <w:p>
            <w:pPr>
              <w:pStyle w:val="TableParagraph"/>
              <w:ind w:left="145"/>
              <w:rPr>
                <w:rFonts w:ascii="標楷體" w:eastAsia="標楷體" w:hint="eastAsia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下學期</w:t>
            </w:r>
          </w:p>
        </w:tc>
        <w:tc>
          <w:tcPr>
            <w:tcW w:w="3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2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gridSpan w:val="4"/>
          </w:tcPr>
          <w:p>
            <w:pPr>
              <w:pStyle w:val="TableParagraph"/>
              <w:ind w:left="244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 w:hint="eastAsia"/>
                <w:b/>
                <w:spacing w:val="-19"/>
                <w:sz w:val="20"/>
              </w:rPr>
              <w:t>學 分 數</w:t>
            </w:r>
            <w:r>
              <w:rPr>
                <w:rFonts w:ascii="Times New Roman" w:eastAsia="Times New Roman"/>
                <w:b/>
                <w:sz w:val="20"/>
              </w:rPr>
              <w:t>-</w:t>
            </w:r>
            <w:r>
              <w:rPr>
                <w:rFonts w:ascii="標楷體" w:eastAsia="標楷體" w:hint="eastAsia"/>
                <w:b/>
                <w:spacing w:val="-21"/>
                <w:sz w:val="20"/>
              </w:rPr>
              <w:t>上 課 時 數</w:t>
            </w:r>
            <w:r>
              <w:rPr>
                <w:rFonts w:ascii="Times New Roman" w:eastAsia="Times New Roman"/>
                <w:b/>
                <w:sz w:val="20"/>
              </w:rPr>
              <w:t>-</w:t>
            </w:r>
            <w:r>
              <w:rPr>
                <w:rFonts w:ascii="標楷體" w:eastAsia="標楷體" w:hint="eastAsia"/>
                <w:b/>
                <w:spacing w:val="-22"/>
                <w:sz w:val="20"/>
              </w:rPr>
              <w:t>實 習 時 數</w:t>
            </w:r>
          </w:p>
        </w:tc>
        <w:tc>
          <w:tcPr>
            <w:tcW w:w="3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2318" w:type="dxa"/>
            <w:vMerge w:val="restart"/>
          </w:tcPr>
          <w:p>
            <w:pPr>
              <w:pStyle w:val="TableParagraph"/>
              <w:spacing w:line="240" w:lineRule="auto"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0" w:lineRule="auto"/>
              <w:ind w:left="33"/>
              <w:rPr>
                <w:sz w:val="20"/>
              </w:rPr>
            </w:pPr>
            <w:r>
              <w:rPr>
                <w:sz w:val="20"/>
              </w:rPr>
              <w:t>全人教育</w:t>
            </w:r>
          </w:p>
        </w:tc>
        <w:tc>
          <w:tcPr>
            <w:tcW w:w="2008" w:type="dxa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其他</w:t>
            </w: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博雅通識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8-8-0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修業期間(期)</w:t>
            </w:r>
          </w:p>
        </w:tc>
      </w:tr>
      <w:tr>
        <w:trPr>
          <w:trHeight w:val="227" w:hRule="atLeast"/>
        </w:trPr>
        <w:tc>
          <w:tcPr>
            <w:tcW w:w="2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體育</w:t>
            </w: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運動與健康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2-2-0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修業期間(期)</w:t>
            </w:r>
          </w:p>
        </w:tc>
      </w:tr>
      <w:tr>
        <w:trPr>
          <w:trHeight w:val="227" w:hRule="atLeast"/>
        </w:trPr>
        <w:tc>
          <w:tcPr>
            <w:tcW w:w="2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0" w:type="dxa"/>
            <w:gridSpan w:val="2"/>
            <w:shd w:val="clear" w:color="auto" w:fill="C0C0C0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全人教育應修學分數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4326" w:type="dxa"/>
            <w:gridSpan w:val="2"/>
            <w:vMerge w:val="restart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28"/>
              <w:ind w:left="33"/>
              <w:rPr>
                <w:sz w:val="20"/>
              </w:rPr>
            </w:pPr>
            <w:r>
              <w:rPr>
                <w:sz w:val="20"/>
              </w:rPr>
              <w:t>專業必修(未含專業實習)</w:t>
            </w: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應用統計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2-1-2</w:t>
            </w:r>
          </w:p>
        </w:tc>
        <w:tc>
          <w:tcPr>
            <w:tcW w:w="810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2-1-2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>
        <w:trPr>
          <w:trHeight w:val="227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生產與作業管理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>
        <w:trPr>
          <w:trHeight w:val="227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行銷與商品管理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>
        <w:trPr>
          <w:trHeight w:val="227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流通管理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>
        <w:trPr>
          <w:trHeight w:val="227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電子商務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>
        <w:trPr>
          <w:trHeight w:val="227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供應鏈管理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>
        <w:trPr>
          <w:trHeight w:val="227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商業與統計軟體應用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2-1-2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>
        <w:trPr>
          <w:trHeight w:val="227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網路行銷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>
        <w:trPr>
          <w:trHeight w:val="474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spacing w:line="240" w:lineRule="auto" w:before="105"/>
              <w:ind w:left="34"/>
              <w:rPr>
                <w:sz w:val="20"/>
              </w:rPr>
            </w:pPr>
            <w:r>
              <w:rPr>
                <w:sz w:val="20"/>
              </w:rPr>
              <w:t>物流實務專題（一）</w:t>
            </w:r>
          </w:p>
        </w:tc>
        <w:tc>
          <w:tcPr>
            <w:tcW w:w="625" w:type="dxa"/>
          </w:tcPr>
          <w:p>
            <w:pPr>
              <w:pStyle w:val="TableParagraph"/>
              <w:spacing w:line="240" w:lineRule="auto" w:before="105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5" w:type="dxa"/>
          </w:tcPr>
          <w:p>
            <w:pPr>
              <w:pStyle w:val="TableParagraph"/>
              <w:spacing w:line="240" w:lineRule="auto" w:before="105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105"/>
              <w:ind w:left="40"/>
              <w:rPr>
                <w:sz w:val="20"/>
              </w:rPr>
            </w:pPr>
            <w:r>
              <w:rPr>
                <w:sz w:val="20"/>
              </w:rPr>
              <w:t>2-0-2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46" w:lineRule="exact"/>
              <w:ind w:left="43"/>
              <w:rPr>
                <w:sz w:val="20"/>
              </w:rPr>
            </w:pPr>
            <w:r>
              <w:rPr>
                <w:sz w:val="20"/>
              </w:rPr>
              <w:t>專業科目。物流實務專題/商店經營實務</w:t>
            </w:r>
          </w:p>
          <w:p>
            <w:pPr>
              <w:pStyle w:val="TableParagraph"/>
              <w:spacing w:line="208" w:lineRule="exact"/>
              <w:ind w:left="43"/>
              <w:rPr>
                <w:sz w:val="20"/>
              </w:rPr>
            </w:pPr>
            <w:r>
              <w:rPr>
                <w:sz w:val="20"/>
              </w:rPr>
              <w:t>專題 二選一</w:t>
            </w:r>
          </w:p>
        </w:tc>
      </w:tr>
      <w:tr>
        <w:trPr>
          <w:trHeight w:val="474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spacing w:line="240" w:lineRule="auto" w:before="105"/>
              <w:ind w:left="34"/>
              <w:rPr>
                <w:sz w:val="20"/>
              </w:rPr>
            </w:pPr>
            <w:r>
              <w:rPr>
                <w:sz w:val="20"/>
              </w:rPr>
              <w:t>商店經營實務專題（一）</w:t>
            </w:r>
          </w:p>
        </w:tc>
        <w:tc>
          <w:tcPr>
            <w:tcW w:w="625" w:type="dxa"/>
          </w:tcPr>
          <w:p>
            <w:pPr>
              <w:pStyle w:val="TableParagraph"/>
              <w:spacing w:line="240" w:lineRule="auto" w:before="105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5" w:type="dxa"/>
          </w:tcPr>
          <w:p>
            <w:pPr>
              <w:pStyle w:val="TableParagraph"/>
              <w:spacing w:line="240" w:lineRule="auto" w:before="105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105"/>
              <w:ind w:left="40"/>
              <w:rPr>
                <w:sz w:val="20"/>
              </w:rPr>
            </w:pPr>
            <w:r>
              <w:rPr>
                <w:sz w:val="20"/>
              </w:rPr>
              <w:t>2-0-2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46" w:lineRule="exact"/>
              <w:ind w:left="43"/>
              <w:rPr>
                <w:sz w:val="20"/>
              </w:rPr>
            </w:pPr>
            <w:r>
              <w:rPr>
                <w:sz w:val="20"/>
              </w:rPr>
              <w:t>專業科目。物流實務專題/商店經營實務</w:t>
            </w:r>
          </w:p>
          <w:p>
            <w:pPr>
              <w:pStyle w:val="TableParagraph"/>
              <w:spacing w:line="208" w:lineRule="exact"/>
              <w:ind w:left="43"/>
              <w:rPr>
                <w:sz w:val="20"/>
              </w:rPr>
            </w:pPr>
            <w:r>
              <w:rPr>
                <w:sz w:val="20"/>
              </w:rPr>
              <w:t>專題 二選一</w:t>
            </w:r>
          </w:p>
        </w:tc>
      </w:tr>
      <w:tr>
        <w:trPr>
          <w:trHeight w:val="227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資訊安全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>
        <w:trPr>
          <w:trHeight w:val="474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spacing w:line="240" w:lineRule="auto" w:before="105"/>
              <w:ind w:left="34"/>
              <w:rPr>
                <w:sz w:val="20"/>
              </w:rPr>
            </w:pPr>
            <w:r>
              <w:rPr>
                <w:sz w:val="20"/>
              </w:rPr>
              <w:t>物流實務專題（二）</w:t>
            </w:r>
          </w:p>
        </w:tc>
        <w:tc>
          <w:tcPr>
            <w:tcW w:w="625" w:type="dxa"/>
          </w:tcPr>
          <w:p>
            <w:pPr>
              <w:pStyle w:val="TableParagraph"/>
              <w:spacing w:line="240" w:lineRule="auto" w:before="105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5" w:type="dxa"/>
          </w:tcPr>
          <w:p>
            <w:pPr>
              <w:pStyle w:val="TableParagraph"/>
              <w:spacing w:line="240" w:lineRule="auto" w:before="105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105"/>
              <w:ind w:left="42"/>
              <w:rPr>
                <w:sz w:val="20"/>
              </w:rPr>
            </w:pPr>
            <w:r>
              <w:rPr>
                <w:sz w:val="20"/>
              </w:rPr>
              <w:t>2-0-2</w:t>
            </w:r>
          </w:p>
        </w:tc>
        <w:tc>
          <w:tcPr>
            <w:tcW w:w="3630" w:type="dxa"/>
          </w:tcPr>
          <w:p>
            <w:pPr>
              <w:pStyle w:val="TableParagraph"/>
              <w:spacing w:line="246" w:lineRule="exact"/>
              <w:ind w:left="43"/>
              <w:rPr>
                <w:sz w:val="20"/>
              </w:rPr>
            </w:pPr>
            <w:r>
              <w:rPr>
                <w:sz w:val="20"/>
              </w:rPr>
              <w:t>專業科目。物流實務專題/商店經營實務</w:t>
            </w:r>
          </w:p>
          <w:p>
            <w:pPr>
              <w:pStyle w:val="TableParagraph"/>
              <w:spacing w:line="208" w:lineRule="exact"/>
              <w:ind w:left="43"/>
              <w:rPr>
                <w:sz w:val="20"/>
              </w:rPr>
            </w:pPr>
            <w:r>
              <w:rPr>
                <w:sz w:val="20"/>
              </w:rPr>
              <w:t>專題 二選一</w:t>
            </w:r>
          </w:p>
        </w:tc>
      </w:tr>
      <w:tr>
        <w:trPr>
          <w:trHeight w:val="227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金流管理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>
        <w:trPr>
          <w:trHeight w:val="474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spacing w:line="240" w:lineRule="auto" w:before="105"/>
              <w:ind w:left="34"/>
              <w:rPr>
                <w:sz w:val="20"/>
              </w:rPr>
            </w:pPr>
            <w:r>
              <w:rPr>
                <w:sz w:val="20"/>
              </w:rPr>
              <w:t>商店經營實務專題（二）</w:t>
            </w:r>
          </w:p>
        </w:tc>
        <w:tc>
          <w:tcPr>
            <w:tcW w:w="625" w:type="dxa"/>
          </w:tcPr>
          <w:p>
            <w:pPr>
              <w:pStyle w:val="TableParagraph"/>
              <w:spacing w:line="240" w:lineRule="auto" w:before="105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5" w:type="dxa"/>
          </w:tcPr>
          <w:p>
            <w:pPr>
              <w:pStyle w:val="TableParagraph"/>
              <w:spacing w:line="240" w:lineRule="auto" w:before="105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105"/>
              <w:ind w:left="42"/>
              <w:rPr>
                <w:sz w:val="20"/>
              </w:rPr>
            </w:pPr>
            <w:r>
              <w:rPr>
                <w:sz w:val="20"/>
              </w:rPr>
              <w:t>2-0-2</w:t>
            </w:r>
          </w:p>
        </w:tc>
        <w:tc>
          <w:tcPr>
            <w:tcW w:w="3630" w:type="dxa"/>
          </w:tcPr>
          <w:p>
            <w:pPr>
              <w:pStyle w:val="TableParagraph"/>
              <w:spacing w:line="246" w:lineRule="exact"/>
              <w:ind w:left="43"/>
              <w:rPr>
                <w:sz w:val="20"/>
              </w:rPr>
            </w:pPr>
            <w:r>
              <w:rPr>
                <w:sz w:val="20"/>
              </w:rPr>
              <w:t>專業科目。物流實務專題/商店經營實務</w:t>
            </w:r>
          </w:p>
          <w:p>
            <w:pPr>
              <w:pStyle w:val="TableParagraph"/>
              <w:spacing w:line="208" w:lineRule="exact"/>
              <w:ind w:left="43"/>
              <w:rPr>
                <w:sz w:val="20"/>
              </w:rPr>
            </w:pPr>
            <w:r>
              <w:rPr>
                <w:sz w:val="20"/>
              </w:rPr>
              <w:t>專題 二選一</w:t>
            </w:r>
          </w:p>
        </w:tc>
      </w:tr>
      <w:tr>
        <w:trPr>
          <w:trHeight w:val="227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  <w:shd w:val="clear" w:color="auto" w:fill="C0C0C0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專業必修(未含專業實習)應修學分數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4326" w:type="dxa"/>
            <w:gridSpan w:val="2"/>
            <w:vMerge w:val="restart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58"/>
              <w:ind w:left="33"/>
              <w:rPr>
                <w:sz w:val="20"/>
              </w:rPr>
            </w:pPr>
            <w:r>
              <w:rPr>
                <w:sz w:val="20"/>
              </w:rPr>
              <w:t>專業選修(未含專業實習)</w:t>
            </w: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企業財務經營分析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>
        <w:trPr>
          <w:trHeight w:val="227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地理資訊系統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>
        <w:trPr>
          <w:trHeight w:val="227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品牌管理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>
        <w:trPr>
          <w:trHeight w:val="227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消費者行為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>
        <w:trPr>
          <w:trHeight w:val="227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視窗程式設計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>
        <w:trPr>
          <w:trHeight w:val="227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運輸學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>
        <w:trPr>
          <w:trHeight w:val="227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人力資源管理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>
        <w:trPr>
          <w:trHeight w:val="227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全球運籌管理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>
        <w:trPr>
          <w:trHeight w:val="227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服務管理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>
        <w:trPr>
          <w:trHeight w:val="227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流通網路分析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>
        <w:trPr>
          <w:trHeight w:val="227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動態網頁設計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>
        <w:trPr>
          <w:trHeight w:val="227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採購管理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2-2-0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>
        <w:trPr>
          <w:trHeight w:val="227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顧客關係管理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>
        <w:trPr>
          <w:trHeight w:val="227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市場調查與預測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>
        <w:trPr>
          <w:trHeight w:val="227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企業資源規劃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>
        <w:trPr>
          <w:trHeight w:val="227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全球供應鏈與運籌實務專題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>
        <w:trPr>
          <w:trHeight w:val="227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>
        <w:trPr>
          <w:trHeight w:val="227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流通法規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2-2-0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>
        <w:trPr>
          <w:trHeight w:val="227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倉儲配置與管理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2-2-0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>
        <w:trPr>
          <w:trHeight w:val="227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國際物流與通關實務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2-2-0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>
        <w:trPr>
          <w:trHeight w:val="227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連鎖業經營管理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>
        <w:trPr>
          <w:trHeight w:val="227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資訊科技應用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>
        <w:trPr>
          <w:trHeight w:val="227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零售與門市管理實務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>
        <w:trPr>
          <w:trHeight w:val="227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網路商店經營實務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>
        <w:trPr>
          <w:trHeight w:val="227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企業實務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>
        <w:trPr>
          <w:trHeight w:val="227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行銷溝通與傳播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2-2-0</w:t>
            </w: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>
        <w:trPr>
          <w:trHeight w:val="227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物流中心營運實務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>
        <w:trPr>
          <w:trHeight w:val="227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商用英文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2-2-0</w:t>
            </w: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>
        <w:trPr>
          <w:trHeight w:val="227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商圈經營與商店規劃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>
        <w:trPr>
          <w:trHeight w:val="227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商業談判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2-2-0</w:t>
            </w: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>
        <w:trPr>
          <w:trHeight w:val="227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商業禮儀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2-2-0</w:t>
            </w: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>
        <w:trPr>
          <w:trHeight w:val="227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國際貿易實務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2-2-0</w:t>
            </w: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>
        <w:trPr>
          <w:trHeight w:val="227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產業分析與個案研討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>
        <w:trPr>
          <w:trHeight w:val="227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通路管理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3-3-0</w:t>
            </w: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>
        <w:trPr>
          <w:trHeight w:val="227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創意思考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1-1-0</w:t>
            </w: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>
        <w:trPr>
          <w:trHeight w:val="227" w:hRule="atLeast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職涯規劃與自我實現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2-2-0</w:t>
            </w: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>
        <w:trPr>
          <w:trHeight w:val="227" w:hRule="atLeast"/>
        </w:trPr>
        <w:tc>
          <w:tcPr>
            <w:tcW w:w="2318" w:type="dxa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專業實習</w:t>
            </w:r>
          </w:p>
        </w:tc>
        <w:tc>
          <w:tcPr>
            <w:tcW w:w="2008" w:type="dxa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選修</w:t>
            </w:r>
          </w:p>
        </w:tc>
        <w:tc>
          <w:tcPr>
            <w:tcW w:w="376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校外實習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5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2-0-4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專業科目。</w:t>
            </w:r>
          </w:p>
        </w:tc>
      </w:tr>
      <w:tr>
        <w:trPr>
          <w:trHeight w:val="227" w:hRule="atLeast"/>
        </w:trPr>
        <w:tc>
          <w:tcPr>
            <w:tcW w:w="8088" w:type="dxa"/>
            <w:gridSpan w:val="3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全人教育應修學分數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2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8088" w:type="dxa"/>
            <w:gridSpan w:val="3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必修科目應修學分數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</w:t>
            </w:r>
          </w:p>
        </w:tc>
        <w:tc>
          <w:tcPr>
            <w:tcW w:w="62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8088" w:type="dxa"/>
            <w:gridSpan w:val="3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選修本系最低學分數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62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8088" w:type="dxa"/>
            <w:gridSpan w:val="3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可承認跨系選修學分數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62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8088" w:type="dxa"/>
            <w:gridSpan w:val="3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合計應選修最低學分數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</w:t>
            </w:r>
          </w:p>
        </w:tc>
        <w:tc>
          <w:tcPr>
            <w:tcW w:w="62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8088" w:type="dxa"/>
            <w:gridSpan w:val="3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畢業應修學分數</w:t>
            </w:r>
          </w:p>
        </w:tc>
        <w:tc>
          <w:tcPr>
            <w:tcW w:w="625" w:type="dxa"/>
          </w:tcPr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72</w:t>
            </w:r>
          </w:p>
        </w:tc>
        <w:tc>
          <w:tcPr>
            <w:tcW w:w="62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sectPr>
      <w:type w:val="continuous"/>
      <w:pgSz w:w="16840" w:h="23820"/>
      <w:pgMar w:top="460" w:bottom="280" w:left="1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  <w:font w:name="新細明體">
    <w:altName w:val="新細明體"/>
    <w:charset w:val="88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新細明體" w:hAnsi="新細明體" w:eastAsia="新細明體" w:cs="新細明體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07" w:lineRule="exact"/>
    </w:pPr>
    <w:rPr>
      <w:rFonts w:ascii="新細明體" w:hAnsi="新細明體" w:eastAsia="新細明體" w:cs="新細明體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&lt;313036BDD2B57BBCD0B7C7B8EAAEC62DA447A7DEA4E9B6A1B3A1AC79B371BADEB27AA874202831292E786C73&gt;</dc:title>
  <dcterms:created xsi:type="dcterms:W3CDTF">2020-04-14T07:02:20Z</dcterms:created>
  <dcterms:modified xsi:type="dcterms:W3CDTF">2020-04-14T07:02:20Z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2020-04-14T00:00:00Z</vt:filetime>
  </property>
</Properties>
</file>